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"/>
        <w:ind w:firstLine="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525780</wp:posOffset>
            </wp:positionH>
            <wp:positionV relativeFrom="paragraph">
              <wp:posOffset>38100</wp:posOffset>
            </wp:positionV>
            <wp:extent cx="2659274" cy="8411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274" cy="84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2024-</w:t>
      </w:r>
      <w:r>
        <w:rPr>
          <w:spacing w:val="-4"/>
        </w:rPr>
        <w:t>2025</w:t>
      </w:r>
    </w:p>
    <w:p>
      <w:pPr>
        <w:pStyle w:val="Title"/>
        <w:ind w:left="6836"/>
      </w:pPr>
      <w:r>
        <w:rPr/>
        <w:t>Tenured</w:t>
      </w:r>
      <w:r>
        <w:rPr>
          <w:spacing w:val="-11"/>
        </w:rPr>
        <w:t> </w:t>
      </w:r>
      <w:r>
        <w:rPr/>
        <w:t>Faculty</w:t>
      </w:r>
      <w:r>
        <w:rPr>
          <w:spacing w:val="-11"/>
        </w:rPr>
        <w:t> </w:t>
      </w:r>
      <w:r>
        <w:rPr/>
        <w:t>Periodic</w:t>
      </w:r>
      <w:r>
        <w:rPr>
          <w:spacing w:val="-11"/>
        </w:rPr>
        <w:t> </w:t>
      </w:r>
      <w:r>
        <w:rPr/>
        <w:t>Evaluation Post-Tenure</w:t>
      </w:r>
      <w:r>
        <w:rPr>
          <w:spacing w:val="-12"/>
        </w:rPr>
        <w:t> </w:t>
      </w:r>
      <w:r>
        <w:rPr/>
        <w:t>Review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19" w:right="112"/>
        <w:jc w:val="both"/>
      </w:pPr>
      <w:r>
        <w:rPr/>
        <w:t>The Post-Tenure Review Committee (PTRC) and Dean are to use this form to prepare their written statement on the candidate’s Working Personnel Action File.</w:t>
      </w:r>
      <w:r>
        <w:rPr>
          <w:spacing w:val="40"/>
        </w:rPr>
        <w:t> </w:t>
      </w:r>
      <w:r>
        <w:rPr/>
        <w:t>Per </w:t>
      </w:r>
      <w:hyperlink r:id="rId7">
        <w:r>
          <w:rPr>
            <w:color w:val="0562C1"/>
            <w:u w:val="single" w:color="0562C1"/>
          </w:rPr>
          <w:t>UPS 210.020</w:t>
        </w:r>
      </w:hyperlink>
      <w:r>
        <w:rPr>
          <w:color w:val="0562C1"/>
        </w:rPr>
        <w:t> </w:t>
      </w:r>
      <w:r>
        <w:rPr/>
        <w:t>II.E.: “…each shall write a brief written statement commenting on the candidate’s strengths and weaknesses in teaching, scholarly/creative</w:t>
      </w:r>
      <w:r>
        <w:rPr>
          <w:spacing w:val="-13"/>
        </w:rPr>
        <w:t> </w:t>
      </w:r>
      <w:r>
        <w:rPr/>
        <w:t>activities,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(or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areas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Library</w:t>
      </w:r>
      <w:r>
        <w:rPr>
          <w:spacing w:val="-15"/>
        </w:rPr>
        <w:t> </w:t>
      </w:r>
      <w:r>
        <w:rPr/>
        <w:t>or</w:t>
      </w:r>
      <w:r>
        <w:rPr>
          <w:spacing w:val="-12"/>
        </w:rPr>
        <w:t> </w:t>
      </w:r>
      <w:r>
        <w:rPr/>
        <w:t>Counselor </w:t>
      </w:r>
      <w:r>
        <w:rPr>
          <w:spacing w:val="-2"/>
        </w:rPr>
        <w:t>faculty).”</w:t>
      </w:r>
    </w:p>
    <w:p>
      <w:pPr>
        <w:pStyle w:val="BodyText"/>
      </w:pPr>
    </w:p>
    <w:p>
      <w:pPr>
        <w:pStyle w:val="BodyText"/>
        <w:ind w:left="120" w:right="115"/>
        <w:jc w:val="both"/>
      </w:pPr>
      <w:r>
        <w:rPr/>
        <w:t>The</w:t>
      </w:r>
      <w:r>
        <w:rPr>
          <w:spacing w:val="-8"/>
        </w:rPr>
        <w:t> </w:t>
      </w:r>
      <w:r>
        <w:rPr/>
        <w:t>Chair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PTRC</w:t>
      </w:r>
      <w:r>
        <w:rPr>
          <w:spacing w:val="-12"/>
        </w:rPr>
        <w:t> </w:t>
      </w:r>
      <w:r>
        <w:rPr/>
        <w:t>(typically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Chair)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upload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form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“Written Statements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PTRC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Dean”</w:t>
      </w:r>
      <w:r>
        <w:rPr>
          <w:spacing w:val="-12"/>
        </w:rPr>
        <w:t> </w:t>
      </w:r>
      <w:r>
        <w:rPr/>
        <w:t>section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Interfolio</w:t>
      </w:r>
      <w:r>
        <w:rPr>
          <w:spacing w:val="-11"/>
        </w:rPr>
        <w:t> </w:t>
      </w:r>
      <w:r>
        <w:rPr/>
        <w:t>case.</w:t>
      </w:r>
      <w:r>
        <w:rPr>
          <w:spacing w:val="40"/>
        </w:rPr>
        <w:t> </w:t>
      </w:r>
      <w:r>
        <w:rPr>
          <w:b/>
          <w:u w:val="thick"/>
        </w:rPr>
        <w:t>DO</w:t>
      </w:r>
      <w:r>
        <w:rPr>
          <w:b/>
          <w:spacing w:val="-12"/>
          <w:u w:val="thick"/>
        </w:rPr>
        <w:t> </w:t>
      </w:r>
      <w:r>
        <w:rPr>
          <w:b/>
          <w:u w:val="thick"/>
        </w:rPr>
        <w:t>NOT</w:t>
      </w:r>
      <w:r>
        <w:rPr>
          <w:b/>
          <w:spacing w:val="-12"/>
        </w:rPr>
        <w:t> </w:t>
      </w:r>
      <w:r>
        <w:rPr/>
        <w:t>share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candidate (the</w:t>
      </w:r>
      <w:r>
        <w:rPr>
          <w:spacing w:val="-8"/>
        </w:rPr>
        <w:t> </w:t>
      </w:r>
      <w:r>
        <w:rPr/>
        <w:t>Dean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after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finish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written</w:t>
      </w:r>
      <w:r>
        <w:rPr>
          <w:spacing w:val="-8"/>
        </w:rPr>
        <w:t> </w:t>
      </w:r>
      <w:r>
        <w:rPr/>
        <w:t>statement),</w:t>
      </w:r>
      <w:r>
        <w:rPr>
          <w:spacing w:val="-11"/>
        </w:rPr>
        <w:t> </w:t>
      </w:r>
      <w:r>
        <w:rPr/>
        <w:t>but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let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Dean</w:t>
      </w:r>
      <w:r>
        <w:rPr>
          <w:spacing w:val="-8"/>
        </w:rPr>
        <w:t> </w:t>
      </w:r>
      <w:r>
        <w:rPr/>
        <w:t>know</w:t>
      </w:r>
      <w:r>
        <w:rPr>
          <w:spacing w:val="-10"/>
        </w:rPr>
        <w:t> </w:t>
      </w:r>
      <w:r>
        <w:rPr/>
        <w:t>once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been </w:t>
      </w:r>
      <w:r>
        <w:rPr>
          <w:spacing w:val="-2"/>
        </w:rPr>
        <w:t>uploaded.</w:t>
      </w:r>
    </w:p>
    <w:p>
      <w:pPr>
        <w:pStyle w:val="BodyText"/>
      </w:pPr>
    </w:p>
    <w:p>
      <w:pPr>
        <w:pStyle w:val="BodyText"/>
        <w:spacing w:before="1"/>
        <w:ind w:left="120" w:right="111"/>
        <w:jc w:val="both"/>
        <w:rPr>
          <w:b/>
        </w:rPr>
      </w:pPr>
      <w:r>
        <w:rPr/>
        <w:t>After completing their written statement, the Dean shall upload the document and share both written statements with the candidate.</w:t>
      </w:r>
      <w:r>
        <w:rPr>
          <w:spacing w:val="40"/>
        </w:rPr>
        <w:t> </w:t>
      </w:r>
      <w:r>
        <w:rPr/>
        <w:t>The “Response” feature must be enabled to allow the candidate to submit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hyperlink r:id="rId8">
        <w:r>
          <w:rPr>
            <w:color w:val="0562C1"/>
            <w:u w:val="single" w:color="0562C1"/>
          </w:rPr>
          <w:t>Rebuttal</w:t>
        </w:r>
        <w:r>
          <w:rPr>
            <w:color w:val="0562C1"/>
            <w:spacing w:val="-7"/>
            <w:u w:val="single" w:color="0562C1"/>
          </w:rPr>
          <w:t> </w:t>
        </w:r>
        <w:r>
          <w:rPr>
            <w:color w:val="0562C1"/>
            <w:u w:val="single" w:color="0562C1"/>
          </w:rPr>
          <w:t>Form</w:t>
        </w:r>
        <w:r>
          <w:rPr/>
          <w:t>.</w:t>
        </w:r>
      </w:hyperlink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PTRC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Dean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look</w:t>
      </w:r>
      <w:r>
        <w:rPr>
          <w:spacing w:val="-9"/>
        </w:rPr>
        <w:t> </w:t>
      </w:r>
      <w:r>
        <w:rPr/>
        <w:t>at the</w:t>
      </w:r>
      <w:r>
        <w:rPr>
          <w:spacing w:val="-6"/>
        </w:rPr>
        <w:t> </w:t>
      </w:r>
      <w:r>
        <w:rPr/>
        <w:t>PTR</w:t>
      </w:r>
      <w:r>
        <w:rPr>
          <w:spacing w:val="-8"/>
        </w:rPr>
        <w:t> </w:t>
      </w:r>
      <w:r>
        <w:rPr/>
        <w:t>Meeting Choice form in the candidate’s packet to determine if they wish to meet at the end of the process.</w:t>
      </w:r>
      <w:r>
        <w:rPr>
          <w:spacing w:val="40"/>
        </w:rPr>
        <w:t> </w:t>
      </w:r>
      <w:r>
        <w:rPr/>
        <w:t>If they do, the meeting(s) shall be held by </w:t>
      </w:r>
      <w:r>
        <w:rPr>
          <w:b/>
        </w:rPr>
        <w:t>5/12/2025.</w:t>
      </w:r>
    </w:p>
    <w:p>
      <w:pPr>
        <w:pStyle w:val="BodyText"/>
        <w:rPr>
          <w:b/>
        </w:rPr>
      </w:pPr>
    </w:p>
    <w:p>
      <w:pPr>
        <w:pStyle w:val="BodyText"/>
        <w:ind w:left="120" w:right="108"/>
        <w:jc w:val="both"/>
      </w:pPr>
      <w:r>
        <w:rPr/>
        <w:t>After the meeting (or after the Dean distributes the written statements if the candidate chose not to meet), please administer the 10-calendar day rebuttal period (note that they can also choose to meet as part of the rebuttal process).</w:t>
      </w:r>
      <w:r>
        <w:rPr>
          <w:spacing w:val="40"/>
        </w:rPr>
        <w:t> </w:t>
      </w:r>
      <w:r>
        <w:rPr/>
        <w:t>When the Dean receives a written rebuttal from a candidate through Interfolio, they must alert the members of the PTRC so that they can log in to view it.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460248</wp:posOffset>
                </wp:positionH>
                <wp:positionV relativeFrom="paragraph">
                  <wp:posOffset>207554</wp:posOffset>
                </wp:positionV>
                <wp:extent cx="6853555" cy="8826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53555" cy="882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274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Complete the fields in the table below.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PTRC member names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shall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 alphabetical order.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 any Evaluator Name fields that are not needed.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you begin editing this form, save it using a descriptive filename (“PTRC Review of Tuffy Titan.docx”).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Once the written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finalized,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completed,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file,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 upload it to Interfolio.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240002pt;margin-top:16.342911pt;width:539.65pt;height:69.5pt;mso-position-horizontal-relative:page;mso-position-vertical-relative:paragraph;z-index:-15728640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03" w:right="274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Complete the fields in the table below.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PTRC member names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shall 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listed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 alphabetical order.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Delete any Evaluator Name fields that are not needed.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As you begin editing this form, save it using a descriptive filename (“PTRC Review of Tuffy Titan.docx”).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Once the written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has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been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finalized,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enter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was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completed,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save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file,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 upload it to Interfolio.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 w:after="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5485"/>
      </w:tblGrid>
      <w:tr>
        <w:trPr>
          <w:trHeight w:val="275" w:hRule="atLeast"/>
        </w:trPr>
        <w:tc>
          <w:tcPr>
            <w:tcW w:w="5307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07" w:type="dxa"/>
          </w:tcPr>
          <w:p>
            <w:pPr>
              <w:pStyle w:val="TableParagraph"/>
              <w:spacing w:line="255" w:lineRule="exact"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07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Evaluator</w:t>
            </w:r>
            <w:r>
              <w:rPr>
                <w:b/>
                <w:spacing w:val="-4"/>
                <w:sz w:val="24"/>
              </w:rPr>
              <w:t> Name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307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Evaluator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07" w:type="dxa"/>
          </w:tcPr>
          <w:p>
            <w:pPr>
              <w:pStyle w:val="TableParagraph"/>
              <w:spacing w:line="254" w:lineRule="exact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Completed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</w:pPr>
    </w:p>
    <w:p>
      <w:pPr>
        <w:spacing w:before="0"/>
        <w:ind w:left="227" w:right="0" w:firstLine="0"/>
        <w:jc w:val="left"/>
        <w:rPr>
          <w:b/>
          <w:sz w:val="24"/>
        </w:rPr>
      </w:pPr>
      <w:r>
        <w:rPr>
          <w:b/>
          <w:sz w:val="24"/>
        </w:rPr>
        <w:t>Written </w:t>
      </w:r>
      <w:r>
        <w:rPr>
          <w:b/>
          <w:spacing w:val="-2"/>
          <w:sz w:val="24"/>
        </w:rPr>
        <w:t>Statement:</w:t>
      </w:r>
    </w:p>
    <w:sectPr>
      <w:footerReference w:type="default" r:id="rId5"/>
      <w:type w:val="continuous"/>
      <w:pgSz w:w="12240" w:h="15840"/>
      <w:pgMar w:header="0" w:footer="916" w:top="660" w:bottom="1100" w:left="600" w:right="6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448055</wp:posOffset>
              </wp:positionH>
              <wp:positionV relativeFrom="page">
                <wp:posOffset>9418015</wp:posOffset>
              </wp:positionV>
              <wp:extent cx="6862445" cy="139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6244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2445" h="13970">
                            <a:moveTo>
                              <a:pt x="6862318" y="0"/>
                            </a:moveTo>
                            <a:lnTo>
                              <a:pt x="0" y="0"/>
                            </a:lnTo>
                            <a:lnTo>
                              <a:pt x="0" y="13715"/>
                            </a:lnTo>
                            <a:lnTo>
                              <a:pt x="6862318" y="13715"/>
                            </a:lnTo>
                            <a:lnTo>
                              <a:pt x="6862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.279999pt;margin-top:741.575989pt;width:540.34pt;height:1.08pt;mso-position-horizontal-relative:page;mso-position-vertical-relative:page;z-index:-1577216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448055</wp:posOffset>
              </wp:positionH>
              <wp:positionV relativeFrom="page">
                <wp:posOffset>9376867</wp:posOffset>
              </wp:positionV>
              <wp:extent cx="6862445" cy="2794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6244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2445" h="27940">
                            <a:moveTo>
                              <a:pt x="6862318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6862318" y="27431"/>
                            </a:lnTo>
                            <a:lnTo>
                              <a:pt x="6862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.279999pt;margin-top:738.335999pt;width:540.34pt;height:2.16pt;mso-position-horizontal-relative:page;mso-position-vertical-relative:page;z-index:-15771648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448055</wp:posOffset>
              </wp:positionH>
              <wp:positionV relativeFrom="page">
                <wp:posOffset>9349435</wp:posOffset>
              </wp:positionV>
              <wp:extent cx="6862445" cy="139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86244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2445" h="13970">
                            <a:moveTo>
                              <a:pt x="6862318" y="0"/>
                            </a:moveTo>
                            <a:lnTo>
                              <a:pt x="0" y="0"/>
                            </a:lnTo>
                            <a:lnTo>
                              <a:pt x="0" y="13715"/>
                            </a:lnTo>
                            <a:lnTo>
                              <a:pt x="6862318" y="13715"/>
                            </a:lnTo>
                            <a:lnTo>
                              <a:pt x="6862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.279999pt;margin-top:736.176025pt;width:540.34pt;height:1.08pt;mso-position-horizontal-relative:page;mso-position-vertical-relative:page;z-index:-15771136" id="docshape3" filled="true" fillcolor="#000000" stroked="false">
              <v:fill type="solid"/>
              <w10:wrap type="none"/>
            </v:rect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30" w:hanging="1496"/>
      <w:jc w:val="right"/>
    </w:pPr>
    <w:rPr>
      <w:rFonts w:ascii="Arial" w:hAnsi="Arial" w:eastAsia="Arial" w:cs="Arial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fullerton.edu/senate/publications_policies_resolutions/ups/UPS%20200/UPS%20210.020.pdf" TargetMode="External"/><Relationship Id="rId8" Type="http://schemas.openxmlformats.org/officeDocument/2006/relationships/hyperlink" Target="https://www.fullerton.edu/far/evaluations/PTRRebuttalForm.doc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Phillip</dc:creator>
  <dcterms:created xsi:type="dcterms:W3CDTF">2024-10-30T22:08:39Z</dcterms:created>
  <dcterms:modified xsi:type="dcterms:W3CDTF">2024-10-30T22:08:39Z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2024-10-30T00:00:00Z</vt:filetime>
  </property>
  <property fmtid="{D5CDD505-2E9C-101B-9397-08002B2CF9AE}" pid="5" name="Producer">
    <vt:lpwstr>ConvertAPI</vt:lpwstr>
  </property>
</Properties>
</file>